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42.png" ContentType="image/png"/>
  <Override PartName="/word/media/rId44.png" ContentType="image/png"/>
  <Override PartName="/word/media/rId25.png" ContentType="image/png"/>
  <Override PartName="/word/media/rId45.png" ContentType="image/png"/>
  <Override PartName="/word/media/rId3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4681</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N. A. Sugden et al.,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perspective—the presence of faces and hands—by analyzing a longitudinal collection of more than 1700 headcam videos collected at home from three children along a span of 6 to 32 months of age—–the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and to relate these to developmental milestones (e.g., the onset of walking). Second, they eliminate several nuance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However, it is important to note that these data – albeit naturalistic and densely sampled within individuals – come from only a few children in western contexts</w:t>
      </w:r>
      <w:r>
        <w:t xml:space="preserve"> </w:t>
      </w:r>
      <w:r>
        <w:t xml:space="preserve">(@ Henrich, Heine, &amp; Norenzayan, 2010)</w:t>
      </w:r>
      <w:r>
        <w:t xml:space="preserve">, and as such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however,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w:t>
      </w:r>
      <w:r>
        <w:t xml:space="preserve"> </w:t>
      </w:r>
      <w:r>
        <w:t xml:space="preserve"> </w:t>
      </w:r>
      <w:r>
        <w:t xml:space="preserve">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and motor development milestones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findings largely validate prior cross-sectional findings, and further suggest that automated annotated can be used to analyze naturalistic video datasets to build towards generalizable conclusions about the statistics of the social information in the infant view across a wide variety of populations.</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or-validation"/>
      <w:r>
        <w:t xml:space="preserve">Detector Validation</w:t>
      </w:r>
      <w:bookmarkEnd w:id="29"/>
    </w:p>
    <w:p>
      <w:pPr>
        <w:pStyle w:val="FirstParagraph"/>
      </w:pPr>
      <w:r>
        <w:t xml:space="preserve">As has been observed in other studies on automated annotation of headcam data</w:t>
      </w:r>
      <w:r>
        <w:t xml:space="preserve"> </w:t>
      </w:r>
      <w:r>
        <w:t xml:space="preserve">(e.g. Frank, Simmons, Yurovsky, &amp; Pusiol, 2013; Bambach, Lee, Crandall, &amp; Yu, 2015;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p>
      <w:pPr>
        <w:pStyle w:val="berschrift3"/>
      </w:pPr>
      <w:bookmarkStart w:id="30" w:name="X44e81a8714300125da7e967d00ba6022f84be28"/>
      <w:r>
        <w:t xml:space="preserve">Detector vs. human annotations of faces/hands.</w:t>
      </w:r>
      <w:bookmarkEnd w:id="30"/>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We next inspected frames where OpenPose failed to detect faces/hands or erroneously detected them to gain insight into the factors driving performance. Appendix Figure</w:t>
      </w:r>
      <w:r>
        <w:t xml:space="preserve"> </w:t>
      </w:r>
      <w:r>
        <w:t xml:space="preserve"> </w:t>
      </w:r>
      <w:r>
        <w:t xml:space="preserve">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w:t>
      </w:r>
    </w:p>
    <w:p>
      <w:pPr>
        <w:pStyle w:val="berschrift3"/>
      </w:pPr>
      <w:bookmarkStart w:id="31" w:name="detecting-childrens-own-hands"/>
      <w:r>
        <w:t xml:space="preserve">Detecting children’s own hands.</w:t>
      </w:r>
      <w:bookmarkEnd w:id="31"/>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w:t>
      </w:r>
      <w:r>
        <w:t xml:space="preserve"> </w:t>
      </w:r>
      <w:r>
        <w:t xml:space="preserve">.</w:t>
      </w:r>
    </w:p>
    <w:p>
      <w:pPr>
        <w:pStyle w:val="berschrift3"/>
      </w:pPr>
      <w:bookmarkStart w:id="32" w:name="Xe164f0542760b667745879a2afb117dd1fffb59"/>
      <w:r>
        <w:t xml:space="preserve">Restricting detections to the center field-of-view.</w:t>
      </w:r>
      <w:bookmarkEnd w:id="32"/>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peripehral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w:t>
      </w:r>
      <w:r>
        <w:t xml:space="preserve"> </w:t>
      </w:r>
      <w:r>
        <w:t xml:space="preserve"> </w:t>
      </w:r>
      <w:r>
        <w:t xml:space="preserve">illustrates this finding, showing the density of false positives for both faces and hands that are concentrated in the center of the fied of view.</w:t>
      </w:r>
    </w:p>
    <w:p>
      <w:pPr>
        <w:pStyle w:val="berschrift3"/>
      </w:pPr>
      <w:bookmarkStart w:id="33" w:name="detector-confidence"/>
      <w:r>
        <w:t xml:space="preserve">Detector confidence.</w:t>
      </w:r>
      <w:bookmarkEnd w:id="33"/>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Further analyses sweeping across the entire range of possible confidence detection thresholds revealed that including all detections was the most beneficial for optimizing the rate of true positives (see Appendix Figure</w:t>
      </w:r>
      <w:r>
        <w:t xml:space="preserve"> </w:t>
      </w:r>
      <w:r>
        <w:t xml:space="preserve"> </w:t>
      </w:r>
      <w:r>
        <w:t xml:space="preserve">for full ROC curves for both face and hand detections).</w:t>
      </w:r>
    </w:p>
    <w:p>
      <w:pPr>
        <w:pStyle w:val="berschrift3"/>
      </w:pPr>
      <w:bookmarkStart w:id="34" w:name="accuracy-across-child-location-and-age"/>
      <w:r>
        <w:t xml:space="preserve">Accuracy across child, location, and age.</w:t>
      </w:r>
      <w:bookmarkEnd w:id="34"/>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w:t>
      </w:r>
      <w:r>
        <w:t xml:space="preserve"> </w:t>
      </w:r>
      <w:r>
        <w:t xml:space="preserve">). We did not find any discernible trends in face/hand detection accuracy across different filming locations (see Figure</w:t>
      </w:r>
      <w:r>
        <w:t xml:space="preserve"> </w:t>
      </w:r>
      <w:r>
        <w:t xml:space="preserve">). However, we did still see considerable variation in model accuracy across different videos, suggesting that particular recording activities, lighting conditions, or situations could cause conditions that would impair detector performance.</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p>
      <w:pPr>
        <w:pStyle w:val="berschrift1"/>
      </w:pPr>
      <w:bookmarkStart w:id="35" w:name="results-and-discussion"/>
      <w:r>
        <w:t xml:space="preserve">Results and Discussion</w:t>
      </w:r>
      <w:bookmarkEnd w:id="35"/>
    </w:p>
    <w:p>
      <w:pPr>
        <w:pStyle w:val="berschrift2"/>
      </w:pPr>
      <w:bookmarkStart w:id="36" w:name="access-to-social-information-across-age"/>
      <w:r>
        <w:t xml:space="preserve">Access to social information across age</w:t>
      </w:r>
      <w:bookmarkEnd w:id="36"/>
    </w:p>
    <w:p>
      <w:pPr>
        <w:pStyle w:val="CaptionedFigure"/>
      </w:pPr>
      <w:r>
        <w:drawing>
          <wp:inline>
            <wp:extent cx="5969000" cy="5116285"/>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7"/>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8"/>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w:t>
      </w:r>
      <w:r>
        <w:t xml:space="preserve"> </w:t>
      </w:r>
      <w:r>
        <w:t xml:space="preserve">)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Figure</w:t>
      </w:r>
      <w:r>
        <w:t xml:space="preserve"> </w:t>
      </w:r>
      <w:r>
        <w:t xml:space="preserve">),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w:t>
      </w:r>
      <w:r>
        <w:t xml:space="preserve"> </w:t>
      </w:r>
      <w:r>
        <w:t xml:space="preserve">),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w:t>
      </w:r>
      <w:r>
        <w:t xml:space="preserve"> </w:t>
      </w:r>
      <w:r>
        <w:t xml:space="preserve">).</w:t>
      </w:r>
    </w:p>
    <w:p>
      <w:pPr>
        <w:pStyle w:val="Textkrper"/>
      </w:pPr>
      <w:r>
        <w:t xml:space="preserve">Finally, we analyzed how these two sources of social information co-occurred.</w:t>
      </w:r>
      <w:r>
        <w:t xml:space="preserve"> </w:t>
      </w:r>
      <w:r>
        <w:t xml:space="preserve">To do so, wecalculated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40" w:name="X27ff96a8e277eda53831931d034fcaddc4b1952"/>
      <w:r>
        <w:t xml:space="preserve">Variability with motor development milestones</w:t>
      </w:r>
      <w:bookmarkEnd w:id="40"/>
    </w:p>
    <w:p>
      <w:pPr>
        <w:pStyle w:val="FirstParagraph"/>
      </w:pPr>
      <w:r>
        <w:t xml:space="preserve">How does the social information in view change as a function of motor development? One idea is that children’s ability to stand and move on their own may fundamentally change the visual social information that they see (e.g., facial expressions, gaze cues, pointing)</w:t>
      </w:r>
      <w:r>
        <w:t xml:space="preserve"> </w:t>
      </w:r>
      <w:r>
        <w:t xml:space="preserve">(</w:t>
      </w:r>
      <w:r>
        <w:rPr>
          <w:b/>
        </w:rPr>
        <w:t xml:space="preserve">???</w:t>
      </w:r>
      <w:r>
        <w:t xml:space="preserve">)</w:t>
      </w:r>
      <w:r>
        <w:t xml:space="preserve"> </w:t>
      </w:r>
      <w:r>
        <w:t xml:space="preserve">relative to infants who are still sitting and crawling. Indeed, in in-lab studies, children’s in-the-moment posture – and that of their caregiver – is a strong predictor of the visual social information that children see</w:t>
      </w:r>
      <w:r>
        <w:t xml:space="preserve"> </w:t>
      </w:r>
      <w:r>
        <w:t xml:space="preserve">(Franchak et al., 2017; Long et al., 2021)</w:t>
      </w:r>
      <w:r>
        <w:t xml:space="preserve">.</w:t>
      </w:r>
    </w:p>
    <w:p>
      <w:pPr>
        <w:pStyle w:val="Textkrper"/>
      </w:pPr>
      <w:r>
        <w:t xml:space="preserve">We thus next analyzed how the social information in view changed as a function of each child reaching particular developmental motor milestones. Each parent in the SAYCam dataset completed the Ages and Stages Questionnaire (ASQ)</w:t>
      </w:r>
      <w:r>
        <w:t xml:space="preserve"> </w:t>
      </w:r>
      <w:r>
        <w:t xml:space="preserve">(Bricker et al., 1999)</w:t>
      </w:r>
      <w:r>
        <w:t xml:space="preserve">, which includes questions about their child’s motor abilities, and we used the responses from this questionnaire to code the age (in months) at which each child became able to sit, cruise, and walk on their own (questions about crawling were not included in the questionnaire). We found considerable variability in the age at which each child achieved these three milestones. Participants S and A were already able to sit at 6 months of age, while Y began achieving this milestone at 8 months. A was able to cruise at 9 months of age, while S reached that milestone at 10 months, with Y just behind. Learning to walk showed the most variation, with S walking after 10 months, A after 13 months, and Y after 16 months of age.</w:t>
      </w:r>
    </w:p>
    <w:p>
      <w:pPr>
        <w:pStyle w:val="Textkrper"/>
      </w:pPr>
      <w:r>
        <w:t xml:space="preserve">We then used a discontinuity analysis to estimate whether the onset of each of these three motor milestones changed the proportion of faces/hands in each chid’s view. Specifically, we used mixed-effects regressions with per-child random intercepts to estimate whether children’s age (in months), each motor milestone, and their interaction significantly influenced the proportion of hands or faces that each child saw; see Appendix for tables with full model specifications and tables with all coefficients. Overall, we found that the age at which these children began sitting did not significantly predict changes in either the amount of faces or hands that they saw. However, as children became able to cruise, they saw significantly more faces (</w:t>
      </w:r>
      <m:oMath>
        <m:r>
          <m:t>β</m:t>
        </m:r>
        <m:r>
          <m:t>=</m:t>
        </m:r>
        <m:r>
          <m:t>0.27</m:t>
        </m:r>
      </m:oMath>
      <w:r>
        <w:t xml:space="preserve">) and hands (</w:t>
      </w:r>
      <m:oMath>
        <m:r>
          <m:t>β</m:t>
        </m:r>
        <m:r>
          <m:t>=</m:t>
        </m:r>
        <m:r>
          <m:t>0.26</m:t>
        </m:r>
      </m:oMath>
      <w:r>
        <w:t xml:space="preserve">), suggesting that the ability to be upright and locomote even somewhat independently was sufficient to significantly change children’s visual social environment. For faces, however, there was also a significant negative interaction of age and cruising (</w:t>
      </w:r>
      <m:oMath>
        <m:r>
          <m:t>β</m:t>
        </m:r>
        <m:r>
          <m:t>=</m:t>
        </m:r>
        <m:r>
          <m:t>−</m:t>
        </m:r>
        <m:r>
          <m:t>0.03</m:t>
        </m:r>
      </m:oMath>
      <w:r>
        <w:t xml:space="preserve">,</w:t>
      </w:r>
      <w:r>
        <w:t xml:space="preserve"> </w:t>
      </w:r>
      <m:oMath>
        <m:r>
          <m:t>p</m:t>
        </m:r>
        <m:r>
          <m:t>=</m:t>
        </m:r>
        <m:r>
          <m:t>0.025</m:t>
        </m:r>
      </m:oMath>
      <w:r>
        <w:t xml:space="preserve">), and a marginal positive effect of age (</w:t>
      </w:r>
      <m:oMath>
        <m:r>
          <m:t>β</m:t>
        </m:r>
        <m:r>
          <m:t>=</m:t>
        </m:r>
        <m:r>
          <m:t>0.03</m:t>
        </m:r>
      </m:oMath>
      <w:r>
        <w:t xml:space="preserve">,</w:t>
      </w:r>
      <w:r>
        <w:t xml:space="preserve"> </w:t>
      </w:r>
      <m:oMath>
        <m:r>
          <m:t>p</m:t>
        </m:r>
        <m:r>
          <m:t>=</m:t>
        </m:r>
        <m:r>
          <m:t>0.055</m:t>
        </m:r>
      </m:oMath>
      <w:r>
        <w:t xml:space="preserve">). However, we did not find major differences with the onset of walking; as these children became able to walk, they saw marginally more hands (</w:t>
      </w:r>
      <m:oMath>
        <m:r>
          <m:t>β</m:t>
        </m:r>
        <m:r>
          <m:t>=</m:t>
        </m:r>
        <m:r>
          <m:t>0.09</m:t>
        </m:r>
      </m:oMath>
      <w:r>
        <w:t xml:space="preserve">,</w:t>
      </w:r>
      <w:r>
        <w:t xml:space="preserve"> </w:t>
      </w:r>
      <m:oMath>
        <m:r>
          <m:t>p</m:t>
        </m:r>
        <m:r>
          <m:t>=</m:t>
        </m:r>
        <m:r>
          <m:t>0.052</m:t>
        </m:r>
      </m:oMath>
      <w:r>
        <w:t xml:space="preserve">). Thus, these analyses confirm and extend cross-sectional findings, leveraging dense, within-child data to help elucidate the complex relationship between motor development and the social information in view.</w:t>
      </w:r>
    </w:p>
    <w:p>
      <w:pPr>
        <w:pStyle w:val="berschrift2"/>
      </w:pPr>
      <w:bookmarkStart w:id="41" w:name="X3327e9bde5e5e779b5575a04c94e51de948ff30"/>
      <w:r>
        <w:t xml:space="preserve">Variability in social information across learning contexts</w:t>
      </w:r>
      <w:bookmarkEnd w:id="41"/>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42"/>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w:t>
      </w:r>
      <w:r>
        <w:t xml:space="preserve"> </w:t>
      </w:r>
      <w:r>
        <w:t xml:space="preserve"> </w:t>
      </w:r>
      <w:r>
        <w:t xml:space="preserve">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43" w:name="X6eef6102c3e1e6c58859ed1e9e0ca4c337168e5"/>
      <w:r>
        <w:t xml:space="preserve">Fine-grained changes in the social information in view</w:t>
      </w:r>
      <w:bookmarkEnd w:id="43"/>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44"/>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45"/>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w:t>
      </w:r>
      <w:r>
        <w:t xml:space="preserve"> </w:t>
      </w:r>
      <w:r>
        <w:t xml:space="preserve"> </w:t>
      </w:r>
      <w:r>
        <w:t xml:space="preserve">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6" w:name="general-discussion"/>
      <w:r>
        <w:t xml:space="preserve">General Discussion</w:t>
      </w:r>
      <w:bookmarkEnd w:id="46"/>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 Nicole A Sugden et al., 2014;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w:t>
      </w:r>
      <w:r>
        <w:rPr>
          <w:b/>
        </w:rPr>
        <w:t xml:space="preserve">???</w:t>
      </w:r>
      <w:r>
        <w:t xml:space="preserve">)</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w:t>
      </w:r>
    </w:p>
    <w:p>
      <w:pPr>
        <w:pStyle w:val="Textkrper"/>
      </w:pPr>
      <w:r>
        <w:t xml:space="preserve">How might pose detection algorithms be improved upon such that they can achieve greater accuracy in analyzing infant egocentric videos? This question is ripe for collaboration between computer vision experts and devleopmental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7" w:name="acknowledgements"/>
      <w:r>
        <w:t xml:space="preserve">Acknowledgements</w:t>
      </w:r>
      <w:bookmarkEnd w:id="47"/>
    </w:p>
    <w:p>
      <w:pPr>
        <w:pStyle w:val="FirstParagraph"/>
      </w:pPr>
      <w:r>
        <w:t xml:space="preserve">Blinded.</w:t>
      </w:r>
    </w:p>
    <w:p>
      <w:r>
        <w:br w:type="page"/>
      </w:r>
    </w:p>
    <w:p>
      <w:pPr>
        <w:pStyle w:val="berschrift1"/>
      </w:pPr>
      <w:bookmarkStart w:id="48" w:name="references"/>
      <w:r>
        <w:t xml:space="preserve">References</w:t>
      </w:r>
      <w:bookmarkEnd w:id="48"/>
    </w:p>
    <w:bookmarkStart w:id="93" w:name="refs"/>
    <w:bookmarkStart w:id="49"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9"/>
    <w:bookmarkStart w:id="50" w:name="ref-bricker1999ages"/>
    <w:p>
      <w:pPr>
        <w:pStyle w:val="Literaturverzeichnis"/>
      </w:pPr>
      <w:r>
        <w:t xml:space="preserve">Bricker, D., Squires, J., Mounts, L., Potter, L., Nickel, R., Twombly, E., &amp; Farrell, J. (1999). Ages and stages questionnaire.</w:t>
      </w:r>
      <w:r>
        <w:t xml:space="preserve"> </w:t>
      </w:r>
      <w:r>
        <w:rPr>
          <w:i/>
        </w:rPr>
        <w:t xml:space="preserve">Paul H. Brookes: Baltimore</w:t>
      </w:r>
      <w:r>
        <w:t xml:space="preserve">.</w:t>
      </w:r>
    </w:p>
    <w:bookmarkEnd w:id="50"/>
    <w:bookmarkStart w:id="51"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51"/>
    <w:bookmarkStart w:id="52"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52"/>
    <w:bookmarkStart w:id="53"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53"/>
    <w:bookmarkStart w:id="54"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54"/>
    <w:bookmarkStart w:id="55"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5"/>
    <w:bookmarkStart w:id="56"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6"/>
    <w:bookmarkStart w:id="57"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7"/>
    <w:bookmarkStart w:id="58"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8"/>
    <w:bookmarkStart w:id="59"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9"/>
    <w:bookmarkStart w:id="60"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60"/>
    <w:bookmarkStart w:id="61"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61"/>
    <w:bookmarkStart w:id="62"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62"/>
    <w:bookmarkStart w:id="63"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63"/>
    <w:bookmarkStart w:id="64"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64"/>
    <w:bookmarkStart w:id="65"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65"/>
    <w:bookmarkStart w:id="67"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66">
        <w:r>
          <w:rPr>
            <w:rStyle w:val="Hyperlink"/>
          </w:rPr>
          <w:t xml:space="preserve">https://doi.org/10.1371/journal.pone.0123780</w:t>
        </w:r>
      </w:hyperlink>
    </w:p>
    <w:bookmarkEnd w:id="67"/>
    <w:bookmarkStart w:id="68"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8"/>
    <w:bookmarkStart w:id="69"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9"/>
    <w:bookmarkStart w:id="70"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70"/>
    <w:bookmarkStart w:id="71"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71"/>
    <w:bookmarkStart w:id="73" w:name="ref-long2021automated"/>
    <w:p>
      <w:pPr>
        <w:pStyle w:val="Literaturverzeichnis"/>
      </w:pPr>
      <w:r>
        <w:t xml:space="preserve">Long, B., Sanchez, A., Agrawal, K., Kraus, A. M., &amp; Frank, M. C. (2021). Automated detections reveal the social information in the changing infant view. Retrieved from</w:t>
      </w:r>
      <w:r>
        <w:t xml:space="preserve"> </w:t>
      </w:r>
      <w:hyperlink r:id="rId72">
        <w:r>
          <w:rPr>
            <w:rStyle w:val="Hyperlink"/>
          </w:rPr>
          <w:t xml:space="preserve">https://psyarxiv.com/cmj65</w:t>
        </w:r>
      </w:hyperlink>
    </w:p>
    <w:bookmarkEnd w:id="73"/>
    <w:bookmarkStart w:id="74"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74"/>
    <w:bookmarkStart w:id="75"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75"/>
    <w:bookmarkStart w:id="76"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76"/>
    <w:bookmarkStart w:id="77"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7"/>
    <w:bookmarkStart w:id="78"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8"/>
    <w:bookmarkStart w:id="79"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79"/>
    <w:bookmarkStart w:id="80"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80"/>
    <w:bookmarkStart w:id="81"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81"/>
    <w:bookmarkStart w:id="82"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2"/>
    <w:bookmarkStart w:id="83" w:name="ref-sugden2014spy"/>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3"/>
    <w:bookmarkStart w:id="84" w:name="ref-sugden2017hey"/>
    <w:p>
      <w:pPr>
        <w:pStyle w:val="Literaturverzeichnis"/>
      </w:pPr>
      <w:r>
        <w:t xml:space="preserve">Sugden, N. A., &amp; Moulson, M. C. (2017). Hey baby, what’s “up”? One-and 3-month-olds experience faces primarily upright but non-upright faces offer the best views.</w:t>
      </w:r>
      <w:r>
        <w:t xml:space="preserve"> </w:t>
      </w:r>
      <w:r>
        <w:rPr>
          <w:i/>
        </w:rPr>
        <w:t xml:space="preserve">Quarterly Journal of Experimental Psychology</w:t>
      </w:r>
      <w:r>
        <w:t xml:space="preserve">,</w:t>
      </w:r>
      <w:r>
        <w:t xml:space="preserve"> </w:t>
      </w:r>
      <w:r>
        <w:rPr>
          <w:i/>
        </w:rPr>
        <w:t xml:space="preserve">70</w:t>
      </w:r>
      <w:r>
        <w:t xml:space="preserve">(5), 959–969.</w:t>
      </w:r>
    </w:p>
    <w:bookmarkEnd w:id="84"/>
    <w:bookmarkStart w:id="85" w:name="ref-sugden2019these"/>
    <w:p>
      <w:pPr>
        <w:pStyle w:val="Literaturverzeichnis"/>
      </w:pPr>
      <w:r>
        <w:t xml:space="preserve">Sugden, N. A., &amp; Moulson, M. C. (2019). These are the people in your neighbourhood: Consistency and persistence in infants’ exposure to caregivers’, relatives’, and strangers’ faces across contexts.</w:t>
      </w:r>
      <w:r>
        <w:t xml:space="preserve"> </w:t>
      </w:r>
      <w:r>
        <w:rPr>
          <w:i/>
        </w:rPr>
        <w:t xml:space="preserve">Vision Research</w:t>
      </w:r>
      <w:r>
        <w:t xml:space="preserve">,</w:t>
      </w:r>
      <w:r>
        <w:t xml:space="preserve"> </w:t>
      </w:r>
      <w:r>
        <w:rPr>
          <w:i/>
        </w:rPr>
        <w:t xml:space="preserve">157</w:t>
      </w:r>
      <w:r>
        <w:t xml:space="preserve">, 230–241.</w:t>
      </w:r>
    </w:p>
    <w:bookmarkEnd w:id="85"/>
    <w:bookmarkStart w:id="86"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86"/>
    <w:bookmarkStart w:id="87"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87"/>
    <w:bookmarkStart w:id="88"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88"/>
    <w:bookmarkStart w:id="89"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89"/>
    <w:bookmarkStart w:id="90"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90"/>
    <w:bookmarkStart w:id="91"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91"/>
    <w:bookmarkStart w:id="92"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92"/>
    <w:bookmarkEnd w:id="93"/>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8">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2022-01-06T20:33:15Z</dcterms:created>
  <dcterms:modified xsi:type="dcterms:W3CDTF">2022-01-06T20:33:15Z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